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5750D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750DD" w:rsidRDefault="000C1F1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5750DD" w:rsidRDefault="000C1F1E">
            <w:pPr>
              <w:spacing w:after="0" w:line="240" w:lineRule="auto"/>
            </w:pPr>
            <w:r>
              <w:t>3156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750DD" w:rsidRDefault="000C1F1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5750DD" w:rsidRDefault="000C1F1E">
            <w:pPr>
              <w:spacing w:after="0" w:line="240" w:lineRule="auto"/>
            </w:pPr>
            <w:r>
              <w:t>ODGOJNI ZAVOD U TUROPOLJU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5750DD" w:rsidRDefault="000C1F1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5750DD" w:rsidRDefault="000C1F1E">
            <w:pPr>
              <w:spacing w:after="0" w:line="240" w:lineRule="auto"/>
            </w:pPr>
            <w:r>
              <w:t>11</w:t>
            </w:r>
          </w:p>
        </w:tc>
      </w:tr>
    </w:tbl>
    <w:p w:rsidR="005750DD" w:rsidRDefault="000C1F1E">
      <w:r>
        <w:br/>
      </w:r>
    </w:p>
    <w:p w:rsidR="005750DD" w:rsidRDefault="000C1F1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5750DD" w:rsidRDefault="000C1F1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5750DD" w:rsidRDefault="000C1F1E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2.321.806,66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2.660.341,62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2.328.932,33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2.859.659,10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5750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7.125,67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199.317,48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2797,2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43.317,90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1868,6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5750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2.318,22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43.317,90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1868,6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5750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5750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9.443,89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242.635,38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2569,2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Osnovna djelatnost: Odgojni zavod u </w:t>
      </w:r>
      <w:r>
        <w:t xml:space="preserve">Turopolju ustrojstvena je jedinica Ministarstva pravosuđa, uprave i digitalne transformacije, Uprave za zatvorski sustav i </w:t>
      </w:r>
      <w:proofErr w:type="spellStart"/>
      <w:r>
        <w:t>probaciju</w:t>
      </w:r>
      <w:proofErr w:type="spellEnd"/>
      <w:r>
        <w:t>, u koji se upućuju maloljetnici i mlađi punoljetnici kojima je u kaznenom postupku izrečena odgojna mjera upućivanja u odgo</w:t>
      </w:r>
      <w:r>
        <w:t xml:space="preserve">jni zavod.  Y001-manjak prihoda poslovanja u iznosu 199.317,48 EUR odnosi se na obračunate plaće i prijevoz za mjesec rujan, čija je isplata u listopadu. (deset rashoda za devetomjesečno obračunsko razdoblje zbog ukidanja kontinuiranih rashoda </w:t>
      </w:r>
      <w:r>
        <w:lastRenderedPageBreak/>
        <w:t>193)  Y002-m</w:t>
      </w:r>
      <w:r>
        <w:t>anjak prihoda od nefinancijske imovine u iznosu 43.317,90 EUR - rashodi za nabavu nefinancijske imovine financirani su iz prihoda poslovanja, dok prihoda od nefinancijske imovine nije bilo.   Y005-manjak prihoda i primitaka iznosi 242.635,38 EUR</w:t>
      </w:r>
    </w:p>
    <w:p w:rsidR="005750DD" w:rsidRDefault="000C1F1E">
      <w:r>
        <w:br/>
      </w:r>
    </w:p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2.321.806,66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2.660.341,62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Ostvareni </w:t>
      </w:r>
      <w:r>
        <w:t>prihodi poslovanja tekuće godine na dan 30. rujna iznose 2.660.341,62 EUR i veći su za 14,6% od ostvarenog u izvještajnom razdoblju prethodne godine zbog više doznačenih sredstava iz Državnog proračuna.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Iznos od</w:t>
      </w:r>
      <w:r>
        <w:t xml:space="preserve"> 15.245,00 EUR odnosi se na sredstva Ministarstva znanosti i obrazovanja RH za provođenje Osnovnog obrazovanja odraslih u projektu „Za hrvatsku pismenost“. U odnosu na prošlo izvještajno razdoblje, iznos uplaćenih sredstava veći je za 9,2%.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Navedeni prihodi  u iznosu od 0,72 EUR </w:t>
      </w:r>
      <w:r>
        <w:t>ostvareni su s osnova kamata na depozite po viđenju i veći su za 50% od ostvarenog u prethodnoj godini. Razlog tome su nešto veća sredstva na transakcijskom računu Odgojnog zavoda u Turopolju.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3.355,19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153,7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Iznos od 3.355,19 EUR odnosi se najvećim dijelom na prihode pruženih usluga Praktikuma </w:t>
      </w:r>
      <w:r>
        <w:t>Odgojnog zavoda te u manjem dijelu na naplatu šteta od maloljetnika do datuma 01.04.2025. Također, maloljetnici Odgojnog zavoda izrađivali su prigodne magnete te prihod od istoga iznosi 1.000,00 EUR. U skladu s tim, ukupni prihodi od pruženih usluga veći s</w:t>
      </w:r>
      <w:r>
        <w:t>u za 53,7% u odnosu na izvještajno razdoblje prethodne godine.</w:t>
      </w:r>
    </w:p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Donacije od pravnih i </w:t>
            </w:r>
            <w:r>
              <w:rPr>
                <w:sz w:val="18"/>
              </w:rPr>
              <w:t>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3.966,00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182,3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Tekuće donacije iznose 3.966,00 EUR i veći su za 82,3% u odnosu na izvještajno razdoblje prethodne </w:t>
      </w:r>
      <w:r>
        <w:t xml:space="preserve">godine. Zaklada </w:t>
      </w:r>
      <w:proofErr w:type="spellStart"/>
      <w:r>
        <w:t>Rehobot</w:t>
      </w:r>
      <w:proofErr w:type="spellEnd"/>
      <w:r>
        <w:t xml:space="preserve"> donirala je odjeću i obuću za  maloljetnike vrijednosti 1.766,00 EUR te 40 stolica vrijednosti 1.200,00 EUR.  Udruga IKS donirala je 1.000,00 EUR u sklopu Projekta "Kako organizirati slobodno vrijeme u OZ".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2.302.508,83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2.600.111,48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Navedeni prihodi veći su za 12,9% u odnosu na izvještajno razdoblje prethodne godine i iznose 2.600.111,48 EUR.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36.819,52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3782,8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Navedeni prihodi veći su za 3.682,80% u odnosu na izvještajno razdoblje prethodne godine i iznose 36.819,52 EUR –</w:t>
      </w:r>
      <w:r>
        <w:t xml:space="preserve"> ulaganje u nefinancijsku imovinu Odgojnog zavoda u Turopolju.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Navedeni prihodi veći su za 100% u odnosu na izvještajno razdoblje prethodne godine i ukupno iznose 843,71 EUR. Iznos zbrinutog i prodanog starog željeza iznosi 697,00 EUR. Naplate štete od maloljetnika se od 01.04.2025. prema Uputi Ministarstva</w:t>
      </w:r>
      <w:r>
        <w:t xml:space="preserve"> knjiži na kontu 68311 te je od navedenog datuma na ovom kontu knjiženo ukupno 146,71 EUR.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2.328.932,33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2.859.659,10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Ukupni rashodi poslovanja u razdoblju od siječnja do rujna 2025. godine veći su za 22,8% u odnosu na ostvareno prethodne godine u istom periodu, te iznose 2.859.659,10 </w:t>
      </w:r>
      <w:r>
        <w:t>EUR.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2.123.577,30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2.628.080,75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Rashodi za zaposlene iznose 2.628.080,75 EUR i veći su za 23,8% u odnosu na isto prošlogodišnje razdoblje što je rezultat ukidanja kontinuiranih rashoda poslovanja pa su tako ove godine za prvih 9 mjeseci prikazani rashodi za 10 mjesečnih plaća službenika </w:t>
      </w:r>
      <w:r>
        <w:t>i namještenika (12/2024, 1/2025, 2/2025, 3/2025, 4/2025, 5/2025, 6/2025, 7/2025, 8/2025 i 9/2025).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75.807,47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196.275,46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258,9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Ostali rashodi za zaposlene iznose 196.275,46 EUR i veći su za 158,9% u odnosu na isto prošlogodišnje razdoblje, a povećanje se reflektiralo poglavito zbog većeg iznosa otpremnina</w:t>
      </w:r>
      <w:r>
        <w:t xml:space="preserve"> nego u prošlogodišnjem razdoblju 2024. godine (ove godine su 8 službenika otišla u mirovinu, dok su prošlo izvještajno razdoblje samo 2 službenika otišla u mirovinu).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186.158,94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231.016,26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Materijalni rashodi ukupno iznose 231.016,26 EUR i veći su za 24,1% u odnosu na isto </w:t>
      </w:r>
      <w:r>
        <w:t>prošlogodišnje razdoblje.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Iznos od 562,09 EUR odnosi se na rashode platnog prometa te su veći za 39,9% u odnosu na prošlo izvještajno razdoblje zbog većeg prometa po transakcijskom računu Odgojnog zavoda u Turopolju.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43.317,90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1868,6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Ukupni rashodi poslovanja za nabavu nefinancijske imovine </w:t>
      </w:r>
      <w:r>
        <w:t>u razdoblju od siječnja do rujna 2025. godine veći su za 1768,6% u odnosu na ostvareno prethodne godine u istom periodu, a ukupno iznose 43.317,90 EUR.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6.490,88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Uredska oprema i namještaj – iznos od 6.490,88 EUR odnosi se na nabavu  metalnih kreveta  i metalnih ormara zbog stalnog povećanja broja </w:t>
      </w:r>
      <w:r>
        <w:t>maloljetnika.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Komunikacijska oprema – iznos</w:t>
      </w:r>
      <w:r>
        <w:t xml:space="preserve"> od 336,38 EUR odnosi se na nabavu čeličnog stupa za potrebe ugradnje novog </w:t>
      </w:r>
      <w:proofErr w:type="spellStart"/>
      <w:r>
        <w:t>videonadzora</w:t>
      </w:r>
      <w:proofErr w:type="spellEnd"/>
      <w:r>
        <w:t xml:space="preserve"> čiji projekt je u provedbi u Odgojnom zavodu u Turopolju i trebao bi se završiti u sljedećem izvještajnom razdoblju.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85,1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Oprema za održavanje i zaštitu – iznos od 828,62 EUR odnosi se na nabavu klima </w:t>
      </w:r>
      <w:r>
        <w:t>uređaja za kantinu maloljetnika.</w:t>
      </w:r>
    </w:p>
    <w:p w:rsidR="005750DD" w:rsidRDefault="000C1F1E">
      <w:pPr>
        <w:keepNext/>
        <w:spacing w:line="240" w:lineRule="auto"/>
        <w:jc w:val="center"/>
      </w:pPr>
      <w:bookmarkStart w:id="0" w:name="_GoBack"/>
      <w:bookmarkEnd w:id="0"/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35.662,02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Dodatna ulaganja na građevinskim objektima – iznos od 35.662,02 EUR. Najveći dio odnosi se na sanaciju  stropa u blagovaonici maloljetnika vrijednosti 13.904,75 EUR te su ugrađena i PVC vrata i prozori za blagovaonicu i novu zgradu za posjete</w:t>
      </w:r>
      <w:r>
        <w:t xml:space="preserve"> ukupne vrijednosti 5.719,69 EUR. Na novoj zgradi za posjete saniran je i krov u vrijednosti 11.837,58 EUR. Na kotlovnici </w:t>
      </w:r>
      <w:r>
        <w:lastRenderedPageBreak/>
        <w:t xml:space="preserve">planira se rekonstrukcija cjelokupnog postrojenja grijanja i za te je potrebe izrađena projektna dokumentacija u vrijednosti 4.200,00 </w:t>
      </w:r>
      <w:r>
        <w:t>EUR.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5750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</w:t>
            </w:r>
            <w:r>
              <w:rPr>
                <w:sz w:val="18"/>
              </w:rPr>
              <w:t xml:space="preserve">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9.779,64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250.843,50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2565,0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u sljedeće razdoblje prenosi se manjak prihoda i primitaka u iznosu od 250.843,50 EUR. Razlog tome je ukidanje kontinuiranih rashoda.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5750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Nema dospjelih obveza.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5750D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279.652,35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 xml:space="preserve">Nedospjele obveze odnose se na obračunate plaće i prijevoz za mjesec rujan 2025., obveze prema dobavljačima za materijalne rashode i </w:t>
      </w:r>
      <w:r>
        <w:t>obveze za povrat u proračun za bolovanja HZZO-a.</w:t>
      </w:r>
    </w:p>
    <w:p w:rsidR="005750DD" w:rsidRDefault="005750DD"/>
    <w:p w:rsidR="005750DD" w:rsidRDefault="000C1F1E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5750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750D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14.734,61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5750DD" w:rsidRDefault="000C1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5750DD" w:rsidRDefault="005750DD">
      <w:pPr>
        <w:spacing w:after="0"/>
      </w:pPr>
    </w:p>
    <w:p w:rsidR="005750DD" w:rsidRDefault="000C1F1E">
      <w:pPr>
        <w:spacing w:line="240" w:lineRule="auto"/>
        <w:jc w:val="both"/>
      </w:pPr>
      <w:r>
        <w:t>Obveze za bolovanja na teret HZZO-a.</w:t>
      </w:r>
    </w:p>
    <w:p w:rsidR="005750DD" w:rsidRDefault="005750DD"/>
    <w:sectPr w:rsidR="0057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DD"/>
    <w:rsid w:val="000C1F1E"/>
    <w:rsid w:val="0057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Loborčec Ćurić</dc:creator>
  <cp:lastModifiedBy>Matea Loborčec Ćurić</cp:lastModifiedBy>
  <cp:revision>2</cp:revision>
  <dcterms:created xsi:type="dcterms:W3CDTF">2025-10-09T12:27:00Z</dcterms:created>
  <dcterms:modified xsi:type="dcterms:W3CDTF">2025-10-09T12:27:00Z</dcterms:modified>
</cp:coreProperties>
</file>